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xk5dlainy15" w:id="0"/>
      <w:bookmarkEnd w:id="0"/>
      <w:r w:rsidDel="00000000" w:rsidR="00000000" w:rsidRPr="00000000">
        <w:rPr>
          <w:rtl w:val="0"/>
        </w:rPr>
        <w:t xml:space="preserve">Template Email</w:t>
      </w:r>
      <w:r w:rsidDel="00000000" w:rsidR="00000000" w:rsidRPr="00000000">
        <w:rPr>
          <w:color w:val="c8102e"/>
          <w:rtl w:val="0"/>
        </w:rPr>
        <w:t xml:space="preserve"> Introduction</w:t>
      </w:r>
      <w:r w:rsidDel="00000000" w:rsidR="00000000" w:rsidRPr="00000000">
        <w:rPr>
          <w:rtl w:val="0"/>
        </w:rPr>
      </w:r>
    </w:p>
    <w:p w:rsidR="00000000" w:rsidDel="00000000" w:rsidP="00000000" w:rsidRDefault="00000000" w:rsidRPr="00000000" w14:paraId="00000002">
      <w:pPr>
        <w:pStyle w:val="Subtitle"/>
        <w:rPr/>
      </w:pPr>
      <w:bookmarkStart w:colFirst="0" w:colLast="0" w:name="_eaztcxdw45lx" w:id="1"/>
      <w:bookmarkEnd w:id="1"/>
      <w:r w:rsidDel="00000000" w:rsidR="00000000" w:rsidRPr="00000000">
        <w:rPr>
          <w:rtl w:val="0"/>
        </w:rPr>
        <w:t xml:space="preserve">Audience: Entire Lodge</w:t>
      </w:r>
    </w:p>
    <w:p w:rsidR="00000000" w:rsidDel="00000000" w:rsidP="00000000" w:rsidRDefault="00000000" w:rsidRPr="00000000" w14:paraId="00000003">
      <w:pPr>
        <w:pStyle w:val="Subtitle"/>
        <w:rPr/>
      </w:pPr>
      <w:bookmarkStart w:colFirst="0" w:colLast="0" w:name="_4wujzinh2plx" w:id="2"/>
      <w:bookmarkEnd w:id="2"/>
      <w:r w:rsidDel="00000000" w:rsidR="00000000" w:rsidRPr="00000000">
        <w:rPr>
          <w:rtl w:val="0"/>
        </w:rPr>
        <w:t xml:space="preserve">Subject: Operation Arrow 2023 | Order of the Arrow</w:t>
      </w:r>
    </w:p>
    <w:p w:rsidR="00000000" w:rsidDel="00000000" w:rsidP="00000000" w:rsidRDefault="00000000" w:rsidRPr="00000000" w14:paraId="00000004">
      <w:pPr>
        <w:pStyle w:val="Subtitle"/>
        <w:rPr/>
      </w:pPr>
      <w:bookmarkStart w:colFirst="0" w:colLast="0" w:name="_gve35ig8mr7t" w:id="3"/>
      <w:bookmarkEnd w:id="3"/>
      <w:r w:rsidDel="00000000" w:rsidR="00000000" w:rsidRPr="00000000">
        <w:rPr>
          <w:rtl w:val="0"/>
        </w:rPr>
        <w:t xml:space="preserve">Message:</w:t>
      </w:r>
    </w:p>
    <w:p w:rsidR="00000000" w:rsidDel="00000000" w:rsidP="00000000" w:rsidRDefault="00000000" w:rsidRPr="00000000" w14:paraId="00000005">
      <w:pPr>
        <w:pStyle w:val="Heading3"/>
        <w:rPr/>
      </w:pPr>
      <w:bookmarkStart w:colFirst="0" w:colLast="0" w:name="_fjdr4chiz9cg" w:id="4"/>
      <w:bookmarkEnd w:id="4"/>
      <w:r w:rsidDel="00000000" w:rsidR="00000000" w:rsidRPr="00000000">
        <w:rPr>
          <w:rtl w:val="0"/>
        </w:rPr>
        <w:t xml:space="preserve">Next summer, Operation Arrow will continue the Order of the Arrow’s 60+ year legacy of providing service to the 2023 National Scouting Jamboree at the Summit Bechtel Reserve . . . and </w:t>
      </w:r>
      <w:r w:rsidDel="00000000" w:rsidR="00000000" w:rsidRPr="00000000">
        <w:rPr>
          <w:b w:val="1"/>
          <w:rtl w:val="0"/>
        </w:rPr>
        <w:t xml:space="preserve">we need YOU</w:t>
      </w:r>
      <w:r w:rsidDel="00000000" w:rsidR="00000000" w:rsidRPr="00000000">
        <w:rPr>
          <w:rtl w:val="0"/>
        </w:rPr>
        <w:t xml:space="preserve">. Serving as a young adult (16-33) jamboree service team member is the most affordable way to attend the 2023 National Scouting Jamboree and you’ll get to do more, experience more, and frankly be a part of something more than you would with any other program area or council contingent through Operation Arrow.</w:t>
      </w:r>
    </w:p>
    <w:p w:rsidR="00000000" w:rsidDel="00000000" w:rsidP="00000000" w:rsidRDefault="00000000" w:rsidRPr="00000000" w14:paraId="00000006">
      <w:pPr>
        <w:pStyle w:val="Heading3"/>
        <w:rPr/>
      </w:pPr>
      <w:bookmarkStart w:colFirst="0" w:colLast="0" w:name="_itznaeiqgig" w:id="5"/>
      <w:bookmarkEnd w:id="5"/>
      <w:r w:rsidDel="00000000" w:rsidR="00000000" w:rsidRPr="00000000">
        <w:rPr>
          <w:rtl w:val="0"/>
        </w:rPr>
        <w:t xml:space="preserve">Operation Arrow staffers are the logistical boots-on-the-ground for the jamboree and the leaders of the Summit Apex program, the new and unique jamboree outpost experience. Operation Arrow isn’t all service either. Both youth and adult staffers have scheduled free time to enjoy the exciting program of the 2023 National Jamboree. </w:t>
      </w:r>
    </w:p>
    <w:p w:rsidR="00000000" w:rsidDel="00000000" w:rsidP="00000000" w:rsidRDefault="00000000" w:rsidRPr="00000000" w14:paraId="00000007">
      <w:pPr>
        <w:rPr/>
      </w:pPr>
      <w:r w:rsidDel="00000000" w:rsidR="00000000" w:rsidRPr="00000000">
        <w:rPr>
          <w:rtl w:val="0"/>
        </w:rPr>
        <w:t xml:space="preserve">I hope to see you there! Learn more at </w:t>
      </w:r>
      <w:hyperlink r:id="rId6">
        <w:r w:rsidDel="00000000" w:rsidR="00000000" w:rsidRPr="00000000">
          <w:rPr>
            <w:color w:val="003a70"/>
            <w:u w:val="single"/>
            <w:rtl w:val="0"/>
          </w:rPr>
          <w:t xml:space="preserve">oa-bsa.org/jamboree</w:t>
        </w:r>
      </w:hyperlink>
      <w:r w:rsidDel="00000000" w:rsidR="00000000" w:rsidRPr="00000000">
        <w:rPr>
          <w:rtl w:val="0"/>
        </w:rPr>
        <w:t xml:space="preserve">. Registration is open today!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WWW,</w:t>
      </w:r>
    </w:p>
    <w:p w:rsidR="00000000" w:rsidDel="00000000" w:rsidP="00000000" w:rsidRDefault="00000000" w:rsidRPr="00000000" w14:paraId="0000000A">
      <w:pPr>
        <w:shd w:fill="ffffff" w:val="clear"/>
        <w:spacing w:after="160" w:before="160"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First M. Last </w:t>
      </w:r>
      <w:r w:rsidDel="00000000" w:rsidR="00000000" w:rsidRPr="00000000">
        <w:rPr>
          <w:color w:val="333333"/>
          <w:sz w:val="23"/>
          <w:szCs w:val="23"/>
          <w:highlight w:val="white"/>
          <w:rtl w:val="0"/>
        </w:rPr>
        <w:t xml:space="preserve"> </w:t>
      </w:r>
      <w:r w:rsidDel="00000000" w:rsidR="00000000" w:rsidRPr="00000000">
        <w:rPr>
          <w:rFonts w:ascii="Arial" w:cs="Arial" w:eastAsia="Arial" w:hAnsi="Arial"/>
          <w:b w:val="1"/>
          <w:color w:val="e31837"/>
          <w:highlight w:val="white"/>
          <w:rtl w:val="0"/>
        </w:rPr>
        <w:t xml:space="preserve">|</w:t>
      </w:r>
      <w:r w:rsidDel="00000000" w:rsidR="00000000" w:rsidRPr="00000000">
        <w:rPr>
          <w:color w:val="333333"/>
          <w:sz w:val="23"/>
          <w:szCs w:val="23"/>
          <w:highlight w:val="white"/>
          <w:rtl w:val="0"/>
        </w:rPr>
        <w:t xml:space="preserve"> </w:t>
      </w:r>
      <w:r w:rsidDel="00000000" w:rsidR="00000000" w:rsidRPr="00000000">
        <w:rPr>
          <w:rFonts w:ascii="Arial" w:cs="Arial" w:eastAsia="Arial" w:hAnsi="Arial"/>
          <w:highlight w:val="white"/>
          <w:rtl w:val="0"/>
        </w:rPr>
        <w:t xml:space="preserve"> Position</w:t>
      </w:r>
    </w:p>
    <w:p w:rsidR="00000000" w:rsidDel="00000000" w:rsidP="00000000" w:rsidRDefault="00000000" w:rsidRPr="00000000" w14:paraId="0000000B">
      <w:pPr>
        <w:shd w:fill="ffffff" w:val="clear"/>
        <w:spacing w:after="160" w:before="160" w:lineRule="auto"/>
        <w:rPr>
          <w:rFonts w:ascii="Arial" w:cs="Arial" w:eastAsia="Arial" w:hAnsi="Arial"/>
          <w:highlight w:val="white"/>
        </w:rPr>
      </w:pPr>
      <w:r w:rsidDel="00000000" w:rsidR="00000000" w:rsidRPr="00000000">
        <w:rPr>
          <w:rFonts w:ascii="Arial" w:cs="Arial" w:eastAsia="Arial" w:hAnsi="Arial"/>
          <w:highlight w:val="white"/>
          <w:rtl w:val="0"/>
        </w:rPr>
        <w:t xml:space="preserve">Pronouns:</w:t>
      </w:r>
    </w:p>
    <w:p w:rsidR="00000000" w:rsidDel="00000000" w:rsidP="00000000" w:rsidRDefault="00000000" w:rsidRPr="00000000" w14:paraId="0000000C">
      <w:pPr>
        <w:shd w:fill="ffffff" w:val="clear"/>
        <w:spacing w:after="160" w:before="160" w:lineRule="auto"/>
        <w:rPr>
          <w:color w:val="333333"/>
          <w:sz w:val="16"/>
          <w:szCs w:val="16"/>
          <w:highlight w:val="white"/>
        </w:rPr>
      </w:pPr>
      <w:r w:rsidDel="00000000" w:rsidR="00000000" w:rsidRPr="00000000">
        <w:rPr>
          <w:rtl w:val="0"/>
        </w:rPr>
      </w:r>
    </w:p>
    <w:p w:rsidR="00000000" w:rsidDel="00000000" w:rsidP="00000000" w:rsidRDefault="00000000" w:rsidRPr="00000000" w14:paraId="0000000D">
      <w:pPr>
        <w:shd w:fill="ffffff" w:val="clear"/>
        <w:spacing w:after="160" w:before="160"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ORDER OF THE ARROW</w:t>
      </w:r>
    </w:p>
    <w:p w:rsidR="00000000" w:rsidDel="00000000" w:rsidP="00000000" w:rsidRDefault="00000000" w:rsidRPr="00000000" w14:paraId="0000000E">
      <w:pPr>
        <w:shd w:fill="ffffff" w:val="clear"/>
        <w:spacing w:after="160" w:before="160" w:lineRule="auto"/>
        <w:rPr>
          <w:rFonts w:ascii="Arial" w:cs="Arial" w:eastAsia="Arial" w:hAnsi="Arial"/>
          <w:b w:val="1"/>
          <w:color w:val="e31837"/>
          <w:sz w:val="20"/>
          <w:szCs w:val="20"/>
          <w:highlight w:val="white"/>
        </w:rPr>
      </w:pPr>
      <w:r w:rsidDel="00000000" w:rsidR="00000000" w:rsidRPr="00000000">
        <w:rPr>
          <w:rFonts w:ascii="Arial" w:cs="Arial" w:eastAsia="Arial" w:hAnsi="Arial"/>
          <w:b w:val="1"/>
          <w:color w:val="e31837"/>
          <w:sz w:val="20"/>
          <w:szCs w:val="20"/>
          <w:highlight w:val="white"/>
          <w:rtl w:val="0"/>
        </w:rPr>
        <w:t xml:space="preserve">Subordinate Group</w:t>
      </w:r>
    </w:p>
    <w:p w:rsidR="00000000" w:rsidDel="00000000" w:rsidP="00000000" w:rsidRDefault="00000000" w:rsidRPr="00000000" w14:paraId="0000000F">
      <w:pPr>
        <w:shd w:fill="ffffff" w:val="clear"/>
        <w:spacing w:after="160" w:before="160"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0">
      <w:pPr>
        <w:shd w:fill="ffffff" w:val="clear"/>
        <w:spacing w:after="160" w:before="16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 ###.###.####</w:t>
      </w:r>
    </w:p>
    <w:p w:rsidR="00000000" w:rsidDel="00000000" w:rsidP="00000000" w:rsidRDefault="00000000" w:rsidRPr="00000000" w14:paraId="00000011">
      <w:pPr>
        <w:shd w:fill="ffffff" w:val="clear"/>
        <w:spacing w:after="160" w:before="16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[Email]</w:t>
      </w:r>
    </w:p>
    <w:p w:rsidR="00000000" w:rsidDel="00000000" w:rsidP="00000000" w:rsidRDefault="00000000" w:rsidRPr="00000000" w14:paraId="0000001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Pr>
        <w:drawing>
          <wp:inline distB="114300" distT="114300" distL="114300" distR="114300">
            <wp:extent cx="2414588" cy="38717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14588" cy="387179"/>
                    </a:xfrm>
                    <a:prstGeom prst="rect"/>
                    <a:ln/>
                  </pic:spPr>
                </pic:pic>
              </a:graphicData>
            </a:graphic>
          </wp:inline>
        </w:drawing>
      </w:r>
      <w:r w:rsidDel="00000000" w:rsidR="00000000" w:rsidRPr="00000000">
        <w:rPr>
          <w:rtl w:val="0"/>
        </w:rPr>
      </w:r>
    </w:p>
    <w:sectPr>
      <w:headerReference r:id="rId8" w:type="default"/>
      <w:footerReference r:id="rId9"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ckwel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-723899</wp:posOffset>
          </wp:positionH>
          <wp:positionV relativeFrom="paragraph">
            <wp:posOffset>-247649</wp:posOffset>
          </wp:positionV>
          <wp:extent cx="5943600" cy="990600"/>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90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Rockwell" w:cs="Rockwell" w:eastAsia="Rockwell" w:hAnsi="Rockwell"/>
      <w:color w:val="003a70"/>
      <w:sz w:val="36"/>
      <w:szCs w:val="36"/>
    </w:rPr>
  </w:style>
  <w:style w:type="paragraph" w:styleId="Heading2">
    <w:name w:val="heading 2"/>
    <w:basedOn w:val="Normal"/>
    <w:next w:val="Normal"/>
    <w:pPr>
      <w:keepNext w:val="1"/>
      <w:keepLines w:val="1"/>
    </w:pPr>
    <w:rPr>
      <w:rFonts w:ascii="Rockwell" w:cs="Rockwell" w:eastAsia="Rockwell" w:hAnsi="Rockwell"/>
      <w:color w:val="c8102e"/>
      <w:sz w:val="28"/>
      <w:szCs w:val="28"/>
    </w:rPr>
  </w:style>
  <w:style w:type="paragraph" w:styleId="Heading3">
    <w:name w:val="heading 3"/>
    <w:basedOn w:val="Normal"/>
    <w:next w:val="Normal"/>
    <w:pPr>
      <w:keepNext w:val="1"/>
      <w:keepLines w:val="1"/>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Rockwell" w:cs="Rockwell" w:eastAsia="Rockwell" w:hAnsi="Rockwell"/>
      <w:color w:val="003a70"/>
      <w:sz w:val="48"/>
      <w:szCs w:val="48"/>
    </w:rPr>
  </w:style>
  <w:style w:type="paragraph" w:styleId="Subtitle">
    <w:name w:val="Subtitle"/>
    <w:basedOn w:val="Normal"/>
    <w:next w:val="Normal"/>
    <w:pPr>
      <w:keepNext w:val="1"/>
      <w:keepLines w:val="1"/>
    </w:pPr>
    <w:rPr>
      <w:rFonts w:ascii="Rockwell" w:cs="Rockwell" w:eastAsia="Rockwell" w:hAnsi="Rockwell"/>
      <w:color w:val="326295"/>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oa-bsa.org/jamboree"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