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color w:val="000000"/>
        </w:rPr>
      </w:pPr>
      <w:bookmarkStart w:colFirst="0" w:colLast="0" w:name="_4xk5dlainy15" w:id="0"/>
      <w:bookmarkEnd w:id="0"/>
      <w:r w:rsidDel="00000000" w:rsidR="00000000" w:rsidRPr="00000000">
        <w:rPr>
          <w:color w:val="000000"/>
          <w:rtl w:val="0"/>
        </w:rPr>
        <w:t xml:space="preserve">NOAC 2024 Promotional Email #1</w:t>
      </w:r>
    </w:p>
    <w:p w:rsidR="00000000" w:rsidDel="00000000" w:rsidP="00000000" w:rsidRDefault="00000000" w:rsidRPr="00000000" w14:paraId="00000002">
      <w:pPr>
        <w:pStyle w:val="Subtitle"/>
        <w:rPr>
          <w:color w:val="000000"/>
        </w:rPr>
      </w:pPr>
      <w:bookmarkStart w:colFirst="0" w:colLast="0" w:name="_eaztcxdw45lx" w:id="1"/>
      <w:bookmarkEnd w:id="1"/>
      <w:r w:rsidDel="00000000" w:rsidR="00000000" w:rsidRPr="00000000">
        <w:rPr>
          <w:color w:val="000000"/>
          <w:rtl w:val="0"/>
        </w:rPr>
        <w:t xml:space="preserve">Audience: Entire Lodge</w:t>
      </w:r>
    </w:p>
    <w:p w:rsidR="00000000" w:rsidDel="00000000" w:rsidP="00000000" w:rsidRDefault="00000000" w:rsidRPr="00000000" w14:paraId="00000003">
      <w:pPr>
        <w:pStyle w:val="Subtitle"/>
        <w:rPr>
          <w:color w:val="000000"/>
        </w:rPr>
      </w:pPr>
      <w:bookmarkStart w:colFirst="0" w:colLast="0" w:name="_4wujzinh2plx" w:id="2"/>
      <w:bookmarkEnd w:id="2"/>
      <w:r w:rsidDel="00000000" w:rsidR="00000000" w:rsidRPr="00000000">
        <w:rPr>
          <w:color w:val="000000"/>
          <w:rtl w:val="0"/>
        </w:rPr>
        <w:t xml:space="preserve">Subject: National Order of the Arrow Conference (NOAC) 2024 | Order of the Arrow</w:t>
      </w:r>
    </w:p>
    <w:p w:rsidR="00000000" w:rsidDel="00000000" w:rsidP="00000000" w:rsidRDefault="00000000" w:rsidRPr="00000000" w14:paraId="00000004">
      <w:pPr>
        <w:pStyle w:val="Subtitle"/>
        <w:rPr>
          <w:color w:val="000000"/>
        </w:rPr>
      </w:pPr>
      <w:bookmarkStart w:colFirst="0" w:colLast="0" w:name="_gve35ig8mr7t" w:id="3"/>
      <w:bookmarkEnd w:id="3"/>
      <w:r w:rsidDel="00000000" w:rsidR="00000000" w:rsidRPr="00000000">
        <w:rPr>
          <w:color w:val="000000"/>
          <w:rtl w:val="0"/>
        </w:rPr>
        <w:t xml:space="preserve">Message:</w:t>
      </w:r>
    </w:p>
    <w:p w:rsidR="00000000" w:rsidDel="00000000" w:rsidP="00000000" w:rsidRDefault="00000000" w:rsidRPr="00000000" w14:paraId="00000005">
      <w:pPr>
        <w:rPr/>
      </w:pPr>
      <w:r w:rsidDel="00000000" w:rsidR="00000000" w:rsidRPr="00000000">
        <w:rPr>
          <w:rtl w:val="0"/>
        </w:rPr>
        <w:t xml:space="preserve">[</w:t>
      </w:r>
      <w:r w:rsidDel="00000000" w:rsidR="00000000" w:rsidRPr="00000000">
        <w:rPr>
          <w:i w:val="1"/>
          <w:rtl w:val="0"/>
        </w:rPr>
        <w:t xml:space="preserve">Lodge Name</w:t>
      </w:r>
      <w:r w:rsidDel="00000000" w:rsidR="00000000" w:rsidRPr="00000000">
        <w:rPr>
          <w:rtl w:val="0"/>
        </w:rPr>
        <w:t xml:space="preserve">] Lodge,</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I am proud to announce that [</w:t>
      </w:r>
      <w:r w:rsidDel="00000000" w:rsidR="00000000" w:rsidRPr="00000000">
        <w:rPr>
          <w:i w:val="1"/>
          <w:rtl w:val="0"/>
        </w:rPr>
        <w:t xml:space="preserve">Lodge Name</w:t>
      </w:r>
      <w:r w:rsidDel="00000000" w:rsidR="00000000" w:rsidRPr="00000000">
        <w:rPr>
          <w:rtl w:val="0"/>
        </w:rPr>
        <w:t xml:space="preserve">]</w:t>
      </w:r>
      <w:r w:rsidDel="00000000" w:rsidR="00000000" w:rsidRPr="00000000">
        <w:rPr>
          <w:rtl w:val="0"/>
        </w:rPr>
        <w:t xml:space="preserve"> Lodge will be sending a contingent to the one-and-only National Order of the Arrow Conference (NOAC) next summer and we want </w:t>
      </w:r>
      <w:r w:rsidDel="00000000" w:rsidR="00000000" w:rsidRPr="00000000">
        <w:rPr>
          <w:b w:val="1"/>
          <w:rtl w:val="0"/>
        </w:rPr>
        <w:t xml:space="preserve">you </w:t>
      </w:r>
      <w:r w:rsidDel="00000000" w:rsidR="00000000" w:rsidRPr="00000000">
        <w:rPr>
          <w:rtl w:val="0"/>
        </w:rPr>
        <w:t xml:space="preserve">to join us!  </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NOAC is a week-long experience unlike any other in the Order of the Arrow, and Scouting in general, with innovative training opportunities in the morning, large-scale activities in the afternoon, and professionally produced evening shows! In the past, there has been a helicopter landing, competitions ranging from ceremonies to a triathlon, patch trading, a conference-wide festival and much more.</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The theme for NOAC 2024 is “Seek New Heights” as we climb into the Rocky Mountains from July 29 to August 3, 2024, at the University of Colorado Boulder. When we step onto campus, we will join a growing spirit of thousands of our fellow Arrowmen from across the country as we celebrate the OA and set our sights on new heights.</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If you are interested in attending, complete this interest form [insert lodge interest form link]. We will publish more information, including travel dates, in the coming months. For more information, visit </w:t>
      </w:r>
      <w:hyperlink r:id="rId6">
        <w:r w:rsidDel="00000000" w:rsidR="00000000" w:rsidRPr="00000000">
          <w:rPr>
            <w:color w:val="1155cc"/>
            <w:u w:val="single"/>
            <w:rtl w:val="0"/>
          </w:rPr>
          <w:t xml:space="preserve">oa-bsa.org/noac</w:t>
        </w:r>
      </w:hyperlink>
      <w:r w:rsidDel="00000000" w:rsidR="00000000" w:rsidRPr="00000000">
        <w:rPr>
          <w:rtl w:val="0"/>
        </w:rPr>
        <w:t xml:space="preserve"> and follow @OANOAC on Instagram and Facebook to stay up to date.</w:t>
      </w: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I can not </w:t>
      </w:r>
      <w:r w:rsidDel="00000000" w:rsidR="00000000" w:rsidRPr="00000000">
        <w:rPr>
          <w:rtl w:val="0"/>
        </w:rPr>
        <w:t xml:space="preserve">wait to</w:t>
      </w:r>
      <w:r w:rsidDel="00000000" w:rsidR="00000000" w:rsidRPr="00000000">
        <w:rPr>
          <w:rtl w:val="0"/>
        </w:rPr>
        <w:t xml:space="preserve"> “CU</w:t>
      </w:r>
      <w:r w:rsidDel="00000000" w:rsidR="00000000" w:rsidRPr="00000000">
        <w:rPr>
          <w:rtl w:val="0"/>
        </w:rPr>
        <w:t xml:space="preserve">” in Boulder!</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WWW,</w:t>
      </w:r>
    </w:p>
    <w:p w:rsidR="00000000" w:rsidDel="00000000" w:rsidP="00000000" w:rsidRDefault="00000000" w:rsidRPr="00000000" w14:paraId="00000012">
      <w:pPr>
        <w:shd w:fill="ffffff" w:val="clear"/>
        <w:spacing w:after="160" w:before="160" w:lineRule="auto"/>
        <w:rPr>
          <w:rFonts w:ascii="Arial" w:cs="Arial" w:eastAsia="Arial" w:hAnsi="Arial"/>
          <w:highlight w:val="white"/>
        </w:rPr>
      </w:pPr>
      <w:r w:rsidDel="00000000" w:rsidR="00000000" w:rsidRPr="00000000">
        <w:rPr>
          <w:rFonts w:ascii="Arial" w:cs="Arial" w:eastAsia="Arial" w:hAnsi="Arial"/>
          <w:b w:val="1"/>
          <w:highlight w:val="white"/>
          <w:rtl w:val="0"/>
        </w:rPr>
        <w:t xml:space="preserve">First M. Last </w:t>
      </w:r>
      <w:r w:rsidDel="00000000" w:rsidR="00000000" w:rsidRPr="00000000">
        <w:rPr>
          <w:color w:val="333333"/>
          <w:sz w:val="23"/>
          <w:szCs w:val="23"/>
          <w:highlight w:val="white"/>
          <w:rtl w:val="0"/>
        </w:rPr>
        <w:t xml:space="preserve"> </w:t>
      </w:r>
      <w:r w:rsidDel="00000000" w:rsidR="00000000" w:rsidRPr="00000000">
        <w:rPr>
          <w:rFonts w:ascii="Arial" w:cs="Arial" w:eastAsia="Arial" w:hAnsi="Arial"/>
          <w:b w:val="1"/>
          <w:color w:val="e31837"/>
          <w:highlight w:val="white"/>
          <w:rtl w:val="0"/>
        </w:rPr>
        <w:t xml:space="preserve">|</w:t>
      </w:r>
      <w:r w:rsidDel="00000000" w:rsidR="00000000" w:rsidRPr="00000000">
        <w:rPr>
          <w:color w:val="333333"/>
          <w:sz w:val="23"/>
          <w:szCs w:val="23"/>
          <w:highlight w:val="white"/>
          <w:rtl w:val="0"/>
        </w:rPr>
        <w:t xml:space="preserve"> </w:t>
      </w:r>
      <w:r w:rsidDel="00000000" w:rsidR="00000000" w:rsidRPr="00000000">
        <w:rPr>
          <w:rFonts w:ascii="Arial" w:cs="Arial" w:eastAsia="Arial" w:hAnsi="Arial"/>
          <w:highlight w:val="white"/>
          <w:rtl w:val="0"/>
        </w:rPr>
        <w:t xml:space="preserve"> Position</w:t>
      </w:r>
    </w:p>
    <w:p w:rsidR="00000000" w:rsidDel="00000000" w:rsidP="00000000" w:rsidRDefault="00000000" w:rsidRPr="00000000" w14:paraId="00000013">
      <w:pPr>
        <w:shd w:fill="ffffff" w:val="clear"/>
        <w:spacing w:after="160" w:before="160" w:lineRule="auto"/>
        <w:rPr>
          <w:color w:val="333333"/>
          <w:sz w:val="16"/>
          <w:szCs w:val="16"/>
          <w:highlight w:val="white"/>
        </w:rPr>
      </w:pPr>
      <w:r w:rsidDel="00000000" w:rsidR="00000000" w:rsidRPr="00000000">
        <w:rPr>
          <w:rFonts w:ascii="Arial" w:cs="Arial" w:eastAsia="Arial" w:hAnsi="Arial"/>
          <w:highlight w:val="white"/>
          <w:rtl w:val="0"/>
        </w:rPr>
        <w:t xml:space="preserve">Pronouns:</w:t>
      </w:r>
      <w:r w:rsidDel="00000000" w:rsidR="00000000" w:rsidRPr="00000000">
        <w:rPr>
          <w:rtl w:val="0"/>
        </w:rPr>
      </w:r>
    </w:p>
    <w:p w:rsidR="00000000" w:rsidDel="00000000" w:rsidP="00000000" w:rsidRDefault="00000000" w:rsidRPr="00000000" w14:paraId="00000014">
      <w:pPr>
        <w:shd w:fill="ffffff" w:val="clear"/>
        <w:spacing w:after="160" w:before="160" w:lineRule="auto"/>
        <w:rPr>
          <w:rFonts w:ascii="Arial" w:cs="Arial" w:eastAsia="Arial" w:hAnsi="Arial"/>
          <w:b w:val="1"/>
          <w:sz w:val="20"/>
          <w:szCs w:val="20"/>
          <w:highlight w:val="white"/>
        </w:rPr>
      </w:pPr>
      <w:r w:rsidDel="00000000" w:rsidR="00000000" w:rsidRPr="00000000">
        <w:rPr>
          <w:rFonts w:ascii="Arial" w:cs="Arial" w:eastAsia="Arial" w:hAnsi="Arial"/>
          <w:b w:val="1"/>
          <w:sz w:val="20"/>
          <w:szCs w:val="20"/>
          <w:highlight w:val="white"/>
          <w:rtl w:val="0"/>
        </w:rPr>
        <w:t xml:space="preserve">ORDER OF THE ARROW</w:t>
      </w:r>
    </w:p>
    <w:p w:rsidR="00000000" w:rsidDel="00000000" w:rsidP="00000000" w:rsidRDefault="00000000" w:rsidRPr="00000000" w14:paraId="00000015">
      <w:pPr>
        <w:shd w:fill="ffffff" w:val="clear"/>
        <w:spacing w:after="160" w:before="160" w:lineRule="auto"/>
        <w:rPr>
          <w:rFonts w:ascii="Arial" w:cs="Arial" w:eastAsia="Arial" w:hAnsi="Arial"/>
          <w:sz w:val="16"/>
          <w:szCs w:val="16"/>
          <w:highlight w:val="white"/>
        </w:rPr>
      </w:pPr>
      <w:r w:rsidDel="00000000" w:rsidR="00000000" w:rsidRPr="00000000">
        <w:rPr>
          <w:rFonts w:ascii="Arial" w:cs="Arial" w:eastAsia="Arial" w:hAnsi="Arial"/>
          <w:b w:val="1"/>
          <w:color w:val="e31837"/>
          <w:sz w:val="20"/>
          <w:szCs w:val="20"/>
          <w:highlight w:val="white"/>
          <w:rtl w:val="0"/>
        </w:rPr>
        <w:t xml:space="preserve">Subordinate Group</w:t>
      </w:r>
      <w:r w:rsidDel="00000000" w:rsidR="00000000" w:rsidRPr="00000000">
        <w:rPr>
          <w:rtl w:val="0"/>
        </w:rPr>
      </w:r>
    </w:p>
    <w:p w:rsidR="00000000" w:rsidDel="00000000" w:rsidP="00000000" w:rsidRDefault="00000000" w:rsidRPr="00000000" w14:paraId="00000016">
      <w:pPr>
        <w:shd w:fill="ffffff" w:val="clear"/>
        <w:spacing w:after="160" w:before="160" w:lineRule="auto"/>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P ###.###.####</w:t>
      </w:r>
    </w:p>
    <w:p w:rsidR="00000000" w:rsidDel="00000000" w:rsidP="00000000" w:rsidRDefault="00000000" w:rsidRPr="00000000" w14:paraId="00000017">
      <w:pPr>
        <w:shd w:fill="ffffff" w:val="clear"/>
        <w:spacing w:after="160" w:before="160" w:lineRule="auto"/>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[Email]</w:t>
      </w:r>
    </w:p>
    <w:p w:rsidR="00000000" w:rsidDel="00000000" w:rsidP="00000000" w:rsidRDefault="00000000" w:rsidRPr="00000000" w14:paraId="00000018">
      <w:pPr>
        <w:rPr>
          <w:rFonts w:ascii="Arial" w:cs="Arial" w:eastAsia="Arial" w:hAnsi="Arial"/>
          <w:sz w:val="20"/>
          <w:szCs w:val="20"/>
          <w:highlight w:val="white"/>
        </w:rPr>
      </w:pPr>
      <w:r w:rsidDel="00000000" w:rsidR="00000000" w:rsidRPr="00000000">
        <w:rPr>
          <w:rFonts w:ascii="Arial" w:cs="Arial" w:eastAsia="Arial" w:hAnsi="Arial"/>
          <w:sz w:val="20"/>
          <w:szCs w:val="20"/>
          <w:highlight w:val="white"/>
        </w:rPr>
        <w:drawing>
          <wp:inline distB="114300" distT="114300" distL="114300" distR="114300">
            <wp:extent cx="2414588" cy="387179"/>
            <wp:effectExtent b="0" l="0" r="0" t="0"/>
            <wp:docPr id="2"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2414588" cy="387179"/>
                    </a:xfrm>
                    <a:prstGeom prst="rect"/>
                    <a:ln/>
                  </pic:spPr>
                </pic:pic>
              </a:graphicData>
            </a:graphic>
          </wp:inline>
        </w:drawing>
      </w:r>
      <w:r w:rsidDel="00000000" w:rsidR="00000000" w:rsidRPr="00000000">
        <w:rPr>
          <w:rtl w:val="0"/>
        </w:rPr>
      </w:r>
    </w:p>
    <w:sectPr>
      <w:headerReference r:id="rId8" w:type="default"/>
      <w:footerReference r:id="rId9" w:type="default"/>
      <w:pgSz w:h="15840" w:w="12240" w:orient="portrait"/>
      <w:pgMar w:bottom="1440" w:top="216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ckwell"/>
  <w:font w:name="Gill San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-723899</wp:posOffset>
          </wp:positionH>
          <wp:positionV relativeFrom="paragraph">
            <wp:posOffset>-247649</wp:posOffset>
          </wp:positionV>
          <wp:extent cx="5943600" cy="990600"/>
          <wp:effectExtent b="0" l="0" r="0" t="0"/>
          <wp:wrapTopAndBottom distB="114300" distT="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943600" cy="99060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Gill Sans" w:cs="Gill Sans" w:eastAsia="Gill Sans" w:hAnsi="Gill Sans"/>
        <w:sz w:val="24"/>
        <w:szCs w:val="24"/>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Pr>
    <w:rPr>
      <w:rFonts w:ascii="Rockwell" w:cs="Rockwell" w:eastAsia="Rockwell" w:hAnsi="Rockwell"/>
      <w:color w:val="003a70"/>
      <w:sz w:val="36"/>
      <w:szCs w:val="36"/>
    </w:rPr>
  </w:style>
  <w:style w:type="paragraph" w:styleId="Heading2">
    <w:name w:val="heading 2"/>
    <w:basedOn w:val="Normal"/>
    <w:next w:val="Normal"/>
    <w:pPr>
      <w:keepNext w:val="1"/>
      <w:keepLines w:val="1"/>
    </w:pPr>
    <w:rPr>
      <w:rFonts w:ascii="Rockwell" w:cs="Rockwell" w:eastAsia="Rockwell" w:hAnsi="Rockwell"/>
      <w:color w:val="c8102e"/>
      <w:sz w:val="28"/>
      <w:szCs w:val="28"/>
    </w:rPr>
  </w:style>
  <w:style w:type="paragraph" w:styleId="Heading3">
    <w:name w:val="heading 3"/>
    <w:basedOn w:val="Normal"/>
    <w:next w:val="Normal"/>
    <w:pPr>
      <w:keepNext w:val="1"/>
      <w:keepLines w:val="1"/>
    </w:pPr>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Pr>
    <w:rPr>
      <w:rFonts w:ascii="Rockwell" w:cs="Rockwell" w:eastAsia="Rockwell" w:hAnsi="Rockwell"/>
      <w:color w:val="003a70"/>
      <w:sz w:val="48"/>
      <w:szCs w:val="48"/>
    </w:rPr>
  </w:style>
  <w:style w:type="paragraph" w:styleId="Subtitle">
    <w:name w:val="Subtitle"/>
    <w:basedOn w:val="Normal"/>
    <w:next w:val="Normal"/>
    <w:pPr>
      <w:keepNext w:val="1"/>
      <w:keepLines w:val="1"/>
    </w:pPr>
    <w:rPr>
      <w:rFonts w:ascii="Rockwell" w:cs="Rockwell" w:eastAsia="Rockwell" w:hAnsi="Rockwell"/>
      <w:color w:val="326295"/>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oa-bsa.org/program/events/noac" TargetMode="External"/><Relationship Id="rId7" Type="http://schemas.openxmlformats.org/officeDocument/2006/relationships/image" Target="media/image2.pn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GillSans-regular.ttf"/><Relationship Id="rId2" Type="http://schemas.openxmlformats.org/officeDocument/2006/relationships/font" Target="fonts/GillSans-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